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786A9" w14:textId="77777777" w:rsidR="00297783" w:rsidRDefault="00297783" w:rsidP="00297783">
      <w:pPr>
        <w:pStyle w:val="a3"/>
      </w:pPr>
      <w:bookmarkStart w:id="0" w:name="_Toc485112784"/>
      <w:r>
        <w:rPr>
          <w:rFonts w:hint="eastAsia"/>
        </w:rPr>
        <w:t>国家卫生健康委生育调控技术重点实验室</w:t>
      </w:r>
    </w:p>
    <w:p w14:paraId="352302F1" w14:textId="7700F518" w:rsidR="00297783" w:rsidRDefault="00297783" w:rsidP="00297783">
      <w:pPr>
        <w:pStyle w:val="a3"/>
      </w:pPr>
      <w:r w:rsidRPr="00A6080B">
        <w:rPr>
          <w:rFonts w:hint="eastAsia"/>
        </w:rPr>
        <w:t>开放课题管理办法</w:t>
      </w:r>
      <w:bookmarkEnd w:id="0"/>
    </w:p>
    <w:p w14:paraId="1B34B91C" w14:textId="05B6B4A0" w:rsidR="00297783" w:rsidRPr="00A6080B" w:rsidRDefault="00297783" w:rsidP="00297783">
      <w:pPr>
        <w:spacing w:line="400" w:lineRule="exact"/>
        <w:ind w:firstLineChars="200" w:firstLine="420"/>
        <w:jc w:val="center"/>
        <w:rPr>
          <w:rFonts w:ascii="宋体" w:hAnsi="宋体"/>
          <w:szCs w:val="21"/>
        </w:rPr>
      </w:pPr>
      <w:r>
        <w:rPr>
          <w:rFonts w:ascii="宋体" w:hAnsi="宋体" w:hint="eastAsia"/>
          <w:szCs w:val="21"/>
        </w:rPr>
        <w:t xml:space="preserve">                                                 </w:t>
      </w:r>
      <w:r w:rsidRPr="00C554FA">
        <w:rPr>
          <w:rFonts w:ascii="宋体" w:hAnsi="宋体"/>
          <w:szCs w:val="21"/>
        </w:rPr>
        <w:t>20</w:t>
      </w:r>
      <w:r w:rsidR="00C554FA" w:rsidRPr="00C554FA">
        <w:rPr>
          <w:rFonts w:ascii="宋体" w:hAnsi="宋体" w:hint="eastAsia"/>
          <w:szCs w:val="21"/>
        </w:rPr>
        <w:t>20</w:t>
      </w:r>
      <w:r w:rsidRPr="00C554FA">
        <w:rPr>
          <w:rFonts w:ascii="宋体" w:hAnsi="宋体"/>
          <w:szCs w:val="21"/>
        </w:rPr>
        <w:t>年1月</w:t>
      </w:r>
    </w:p>
    <w:p w14:paraId="50AE2DAE" w14:textId="77777777" w:rsidR="00297783" w:rsidRPr="00DB03BC" w:rsidRDefault="00297783" w:rsidP="00297783">
      <w:pPr>
        <w:spacing w:line="400" w:lineRule="exact"/>
        <w:ind w:firstLineChars="200" w:firstLine="422"/>
        <w:rPr>
          <w:rFonts w:ascii="宋体" w:hAnsi="宋体"/>
          <w:b/>
          <w:szCs w:val="21"/>
        </w:rPr>
      </w:pPr>
    </w:p>
    <w:p w14:paraId="451B4321" w14:textId="41DD8DDC" w:rsidR="00297783" w:rsidRPr="00297783" w:rsidRDefault="00297783" w:rsidP="0005035F">
      <w:pPr>
        <w:spacing w:line="360" w:lineRule="auto"/>
        <w:ind w:firstLineChars="200" w:firstLine="482"/>
        <w:rPr>
          <w:rFonts w:ascii="宋体" w:hAnsi="宋体"/>
          <w:b/>
          <w:sz w:val="24"/>
        </w:rPr>
      </w:pPr>
      <w:r w:rsidRPr="00297783">
        <w:rPr>
          <w:rFonts w:ascii="宋体" w:hAnsi="宋体" w:hint="eastAsia"/>
          <w:b/>
          <w:sz w:val="24"/>
        </w:rPr>
        <w:t>一、总则</w:t>
      </w:r>
    </w:p>
    <w:p w14:paraId="41EB1770" w14:textId="4467FFD9"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（一）为了加强</w:t>
      </w:r>
      <w:r>
        <w:rPr>
          <w:rFonts w:ascii="宋体" w:hAnsi="宋体" w:hint="eastAsia"/>
          <w:sz w:val="24"/>
        </w:rPr>
        <w:t>国家卫生健康委生育调控技术重点实验室</w:t>
      </w:r>
      <w:r w:rsidRPr="00297783">
        <w:rPr>
          <w:rFonts w:ascii="宋体" w:hAnsi="宋体" w:hint="eastAsia"/>
          <w:sz w:val="24"/>
        </w:rPr>
        <w:t>开放课题的管理工作，确保开放目标的实现，根据《国家重点实验室建设与管理暂行办法》的精神，结合</w:t>
      </w:r>
      <w:r w:rsidRPr="00C554FA">
        <w:rPr>
          <w:rFonts w:ascii="宋体" w:hAnsi="宋体" w:hint="eastAsia"/>
          <w:sz w:val="24"/>
        </w:rPr>
        <w:t>我</w:t>
      </w:r>
      <w:r w:rsidR="00C554FA" w:rsidRPr="00C554FA">
        <w:rPr>
          <w:rFonts w:ascii="宋体" w:hAnsi="宋体" w:hint="eastAsia"/>
          <w:sz w:val="24"/>
        </w:rPr>
        <w:t>院</w:t>
      </w:r>
      <w:r w:rsidRPr="00297783">
        <w:rPr>
          <w:rFonts w:ascii="宋体" w:hAnsi="宋体" w:hint="eastAsia"/>
          <w:sz w:val="24"/>
        </w:rPr>
        <w:t>实际，特制定本办法。</w:t>
      </w:r>
    </w:p>
    <w:p w14:paraId="72EF0458" w14:textId="427A312B"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（二）为了建立“开放、流动、联合、竞争”的运行机制，促进重点实验室的全面开放，专门设立了</w:t>
      </w:r>
      <w:r>
        <w:rPr>
          <w:rFonts w:ascii="宋体" w:hAnsi="宋体" w:hint="eastAsia"/>
          <w:sz w:val="24"/>
        </w:rPr>
        <w:t>国家卫生健康委生育调控技术重点实验室</w:t>
      </w:r>
      <w:r w:rsidRPr="00297783">
        <w:rPr>
          <w:rFonts w:ascii="宋体" w:hAnsi="宋体" w:hint="eastAsia"/>
          <w:sz w:val="24"/>
        </w:rPr>
        <w:t>开放基金。其目的在于：</w:t>
      </w:r>
    </w:p>
    <w:p w14:paraId="568689F2" w14:textId="77777777"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1、创造良好的科研条件和学术环境，吸引、聚集国内外优秀学者在生育调控技术的前沿领域开展高水平的基础研究和应用研究，促进新兴、交叉学科的形成和发展，培养高层次科技人才；</w:t>
      </w:r>
    </w:p>
    <w:p w14:paraId="0266EB00" w14:textId="77777777"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2、进一步提高重点实验室先进仪器设备的使用率，实现资源共享，推动合作研究；</w:t>
      </w:r>
    </w:p>
    <w:p w14:paraId="4152098F" w14:textId="7418BD00"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3、充分发挥重点实验室的积极性，提高建设效益，使重点实验室逐步发展</w:t>
      </w:r>
      <w:proofErr w:type="gramStart"/>
      <w:r w:rsidRPr="00297783">
        <w:rPr>
          <w:rFonts w:ascii="宋体" w:hAnsi="宋体" w:hint="eastAsia"/>
          <w:sz w:val="24"/>
        </w:rPr>
        <w:t>成科研</w:t>
      </w:r>
      <w:proofErr w:type="gramEnd"/>
      <w:r w:rsidRPr="00297783">
        <w:rPr>
          <w:rFonts w:ascii="宋体" w:hAnsi="宋体" w:hint="eastAsia"/>
          <w:sz w:val="24"/>
        </w:rPr>
        <w:t>中心</w:t>
      </w:r>
      <w:r w:rsidR="0005035F">
        <w:rPr>
          <w:rFonts w:ascii="宋体" w:hAnsi="宋体" w:hint="eastAsia"/>
          <w:sz w:val="24"/>
        </w:rPr>
        <w:t>、</w:t>
      </w:r>
      <w:r w:rsidRPr="00297783">
        <w:rPr>
          <w:rFonts w:ascii="宋体" w:hAnsi="宋体" w:hint="eastAsia"/>
          <w:sz w:val="24"/>
        </w:rPr>
        <w:t xml:space="preserve">高层次人才中心、学术交流中心和高新技术辐射中心。  </w:t>
      </w:r>
      <w:bookmarkStart w:id="1" w:name="_GoBack"/>
      <w:bookmarkEnd w:id="1"/>
    </w:p>
    <w:p w14:paraId="03459363" w14:textId="77777777" w:rsidR="00297783" w:rsidRPr="00297783" w:rsidRDefault="00297783" w:rsidP="0005035F">
      <w:pPr>
        <w:spacing w:line="360" w:lineRule="auto"/>
        <w:ind w:firstLineChars="200" w:firstLine="482"/>
        <w:rPr>
          <w:rFonts w:ascii="宋体" w:hAnsi="宋体"/>
          <w:b/>
          <w:sz w:val="24"/>
        </w:rPr>
      </w:pPr>
    </w:p>
    <w:p w14:paraId="1F33FEAE" w14:textId="50256D47" w:rsidR="00297783" w:rsidRPr="00297783" w:rsidRDefault="00297783" w:rsidP="0005035F">
      <w:pPr>
        <w:spacing w:line="360" w:lineRule="auto"/>
        <w:ind w:firstLineChars="200" w:firstLine="482"/>
        <w:rPr>
          <w:rFonts w:ascii="宋体" w:hAnsi="宋体"/>
          <w:sz w:val="24"/>
        </w:rPr>
      </w:pPr>
      <w:r w:rsidRPr="00297783">
        <w:rPr>
          <w:rFonts w:ascii="宋体" w:hAnsi="宋体" w:hint="eastAsia"/>
          <w:b/>
          <w:sz w:val="24"/>
        </w:rPr>
        <w:t>二、开放课题的申报与审批</w:t>
      </w:r>
    </w:p>
    <w:p w14:paraId="28BE1828" w14:textId="46DE0B51"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（三）申报对象及规定：</w:t>
      </w:r>
    </w:p>
    <w:p w14:paraId="1FB170D4" w14:textId="4F650A0D"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 xml:space="preserve">1、重点实验室开放课题对国内外、所内外及实验室内外本学科和相关学科的研究人员实行全方位开放。凡国内外科研机构或高等院校的科研人员、教师、博士研究生及博士后人员等，均可在本实验室开放基金指南范围内提出课题申请，经学术委员会和相关专家评审、批准，即可在申请人员所在单位进行独立或合作研究。 </w:t>
      </w:r>
    </w:p>
    <w:p w14:paraId="07E9E680" w14:textId="707193CF" w:rsidR="00297783" w:rsidRPr="00297783" w:rsidRDefault="00C554FA" w:rsidP="0005035F">
      <w:pPr>
        <w:spacing w:line="360" w:lineRule="auto"/>
        <w:ind w:firstLineChars="200" w:firstLine="480"/>
        <w:rPr>
          <w:rFonts w:ascii="宋体" w:hAnsi="宋体"/>
          <w:sz w:val="24"/>
        </w:rPr>
      </w:pPr>
      <w:r>
        <w:rPr>
          <w:rFonts w:ascii="宋体" w:hAnsi="宋体" w:hint="eastAsia"/>
          <w:sz w:val="24"/>
        </w:rPr>
        <w:t>2</w:t>
      </w:r>
      <w:r w:rsidR="00297783" w:rsidRPr="00297783">
        <w:rPr>
          <w:rFonts w:ascii="宋体" w:hAnsi="宋体" w:hint="eastAsia"/>
          <w:sz w:val="24"/>
        </w:rPr>
        <w:t>、每个申报的开放课题经费具体金额根据课题的研究内容、研究时间及研究人员的情况而定，开放课题的研究周期一般限于2年以内。自</w:t>
      </w:r>
      <w:proofErr w:type="gramStart"/>
      <w:r w:rsidR="00297783" w:rsidRPr="00297783">
        <w:rPr>
          <w:rFonts w:ascii="宋体" w:hAnsi="宋体" w:hint="eastAsia"/>
          <w:sz w:val="24"/>
        </w:rPr>
        <w:t>带经费</w:t>
      </w:r>
      <w:proofErr w:type="gramEnd"/>
      <w:r w:rsidR="00297783" w:rsidRPr="00297783">
        <w:rPr>
          <w:rFonts w:ascii="宋体" w:hAnsi="宋体" w:hint="eastAsia"/>
          <w:sz w:val="24"/>
        </w:rPr>
        <w:t>者可不受</w:t>
      </w:r>
      <w:r w:rsidR="00297783" w:rsidRPr="00297783">
        <w:rPr>
          <w:rFonts w:ascii="宋体" w:hAnsi="宋体" w:hint="eastAsia"/>
          <w:sz w:val="24"/>
        </w:rPr>
        <w:lastRenderedPageBreak/>
        <w:t>上述条件限制。</w:t>
      </w:r>
    </w:p>
    <w:p w14:paraId="333C6018" w14:textId="5377328F" w:rsidR="00297783" w:rsidRPr="00297783" w:rsidRDefault="00C554FA" w:rsidP="0005035F">
      <w:pPr>
        <w:spacing w:line="360" w:lineRule="auto"/>
        <w:ind w:firstLineChars="200" w:firstLine="480"/>
        <w:rPr>
          <w:rFonts w:ascii="宋体" w:hAnsi="宋体"/>
          <w:sz w:val="24"/>
        </w:rPr>
      </w:pPr>
      <w:r>
        <w:rPr>
          <w:rFonts w:ascii="宋体" w:hAnsi="宋体" w:hint="eastAsia"/>
          <w:sz w:val="24"/>
        </w:rPr>
        <w:t>3</w:t>
      </w:r>
      <w:r w:rsidR="00297783" w:rsidRPr="00297783">
        <w:rPr>
          <w:rFonts w:ascii="宋体" w:hAnsi="宋体" w:hint="eastAsia"/>
          <w:sz w:val="24"/>
        </w:rPr>
        <w:t>、开放课题每年申报一次，重点实验室根据计划任务书的目标、研究方向和本实验室的设备条件，定期公开发布开放课题指南。</w:t>
      </w:r>
    </w:p>
    <w:p w14:paraId="2E3F36E9" w14:textId="07B4EE26" w:rsidR="00297783" w:rsidRPr="00297783" w:rsidRDefault="00C554FA" w:rsidP="0005035F">
      <w:pPr>
        <w:spacing w:line="360" w:lineRule="auto"/>
        <w:ind w:firstLineChars="200" w:firstLine="480"/>
        <w:rPr>
          <w:rFonts w:ascii="宋体" w:hAnsi="宋体"/>
          <w:sz w:val="24"/>
        </w:rPr>
      </w:pPr>
      <w:r>
        <w:rPr>
          <w:rFonts w:ascii="宋体" w:hAnsi="宋体" w:hint="eastAsia"/>
          <w:sz w:val="24"/>
        </w:rPr>
        <w:t>4</w:t>
      </w:r>
      <w:r w:rsidR="00297783" w:rsidRPr="00297783">
        <w:rPr>
          <w:rFonts w:ascii="宋体" w:hAnsi="宋体" w:hint="eastAsia"/>
          <w:sz w:val="24"/>
        </w:rPr>
        <w:t>、申请者经所在单位同意后，填写</w:t>
      </w:r>
      <w:r w:rsidR="0005035F" w:rsidRPr="00297783">
        <w:rPr>
          <w:rFonts w:ascii="宋体" w:hAnsi="宋体" w:hint="eastAsia"/>
          <w:sz w:val="24"/>
        </w:rPr>
        <w:t>《国家卫</w:t>
      </w:r>
      <w:r w:rsidR="0005035F">
        <w:rPr>
          <w:rFonts w:ascii="宋体" w:hAnsi="宋体" w:hint="eastAsia"/>
          <w:sz w:val="24"/>
        </w:rPr>
        <w:t>健</w:t>
      </w:r>
      <w:r w:rsidR="0005035F" w:rsidRPr="00297783">
        <w:rPr>
          <w:rFonts w:ascii="宋体" w:hAnsi="宋体" w:hint="eastAsia"/>
          <w:sz w:val="24"/>
        </w:rPr>
        <w:t>委重点实验室开放研究课题申请书》</w:t>
      </w:r>
      <w:r w:rsidR="00297783" w:rsidRPr="00297783">
        <w:rPr>
          <w:rFonts w:ascii="宋体" w:hAnsi="宋体" w:hint="eastAsia"/>
          <w:sz w:val="24"/>
        </w:rPr>
        <w:t xml:space="preserve">（以下简称《申请书》）。具有高级职称的科技人员或已获得博士学位的人员申请不需要推荐，其他科技人员(主治医师、助研等)申请需有两名高级职称科技人员推荐。申请者以重点实验室发布的“开放基金项目申请指南”为主要申请依据，申请者需在截止日前填写并向本实验室提交《申请书》。 </w:t>
      </w:r>
    </w:p>
    <w:p w14:paraId="4A2A5958" w14:textId="26BDBD6A" w:rsidR="00297783" w:rsidRPr="00297783" w:rsidRDefault="00C554FA" w:rsidP="0005035F">
      <w:pPr>
        <w:spacing w:line="360" w:lineRule="auto"/>
        <w:ind w:firstLineChars="200" w:firstLine="480"/>
        <w:rPr>
          <w:rFonts w:ascii="宋体" w:hAnsi="宋体"/>
          <w:sz w:val="24"/>
        </w:rPr>
      </w:pPr>
      <w:r>
        <w:rPr>
          <w:rFonts w:ascii="宋体" w:hAnsi="宋体" w:hint="eastAsia"/>
          <w:sz w:val="24"/>
        </w:rPr>
        <w:t>5</w:t>
      </w:r>
      <w:r w:rsidR="00297783" w:rsidRPr="00297783">
        <w:rPr>
          <w:rFonts w:ascii="宋体" w:hAnsi="宋体" w:hint="eastAsia"/>
          <w:sz w:val="24"/>
        </w:rPr>
        <w:t>、开放基金资助项目由实验室学术委员会和相关专家组织评审，或由学术委员会通过通信评议确定。本着择优资助、有利于学科发展的原则，资助意义重大的应用基础和应用研究项目，并报</w:t>
      </w:r>
      <w:r>
        <w:rPr>
          <w:rFonts w:ascii="宋体" w:hAnsi="宋体" w:hint="eastAsia"/>
          <w:sz w:val="24"/>
        </w:rPr>
        <w:t>我院</w:t>
      </w:r>
      <w:r w:rsidR="00297783" w:rsidRPr="00297783">
        <w:rPr>
          <w:rFonts w:ascii="宋体" w:hAnsi="宋体" w:hint="eastAsia"/>
          <w:sz w:val="24"/>
        </w:rPr>
        <w:t>审定、批准与备案。</w:t>
      </w:r>
    </w:p>
    <w:p w14:paraId="55B2507F" w14:textId="77777777" w:rsidR="00297783" w:rsidRPr="00297783" w:rsidRDefault="00297783" w:rsidP="0005035F">
      <w:pPr>
        <w:spacing w:line="360" w:lineRule="auto"/>
        <w:ind w:firstLineChars="200" w:firstLine="482"/>
        <w:rPr>
          <w:rFonts w:ascii="宋体" w:hAnsi="宋体"/>
          <w:sz w:val="24"/>
        </w:rPr>
      </w:pPr>
      <w:r w:rsidRPr="00297783">
        <w:rPr>
          <w:rFonts w:ascii="宋体" w:hAnsi="宋体" w:hint="eastAsia"/>
          <w:b/>
          <w:sz w:val="24"/>
        </w:rPr>
        <w:t>三、 开放课题的管理</w:t>
      </w:r>
    </w:p>
    <w:p w14:paraId="34C6F593" w14:textId="3919F0A2"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四）重点实验室开放基金资助的课题，必须按《申请书》中所列的研究计划、科研任务和预期目标严格执行。开放基金开始后一年内提交执行情况报告，根据进展情况提交学术论文、研究总结，必须按时结题，接受验收。</w:t>
      </w:r>
    </w:p>
    <w:p w14:paraId="4FC7CF49" w14:textId="77777777"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（五）重点实验室主任需经常检查开放基金课题进展情况，如发现</w:t>
      </w:r>
      <w:proofErr w:type="gramStart"/>
      <w:r w:rsidRPr="00297783">
        <w:rPr>
          <w:rFonts w:ascii="宋体" w:hAnsi="宋体" w:hint="eastAsia"/>
          <w:sz w:val="24"/>
        </w:rPr>
        <w:t>原研究</w:t>
      </w:r>
      <w:proofErr w:type="gramEnd"/>
      <w:r w:rsidRPr="00297783">
        <w:rPr>
          <w:rFonts w:ascii="宋体" w:hAnsi="宋体" w:hint="eastAsia"/>
          <w:sz w:val="24"/>
        </w:rPr>
        <w:t xml:space="preserve">计划不能实现时，实验室主任有权调整、暂停或取消不能实现原计划目标的课题。     </w:t>
      </w:r>
    </w:p>
    <w:p w14:paraId="3F67F6EA" w14:textId="06F6FC35"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六）使用重点实验室开放基金资助课题的成果由重点实验室与研究者所在单位共享，由学术委员会组织评审，成果鉴定和报奖由本实验室与研究人员所在单位共同办理。发表论文、申报奖励等均要注明重点实验室和研究者所在单位名称，署名统一格式为：“国家卫生健康委生育调控技术重点实验室”和“山东省妇幼保健院”（并列），并将成果复印件</w:t>
      </w:r>
      <w:proofErr w:type="gramStart"/>
      <w:r w:rsidRPr="00297783">
        <w:rPr>
          <w:rFonts w:ascii="宋体" w:hAnsi="宋体" w:hint="eastAsia"/>
          <w:sz w:val="24"/>
        </w:rPr>
        <w:t>送重点</w:t>
      </w:r>
      <w:proofErr w:type="gramEnd"/>
      <w:r w:rsidRPr="00297783">
        <w:rPr>
          <w:rFonts w:ascii="宋体" w:hAnsi="宋体" w:hint="eastAsia"/>
          <w:sz w:val="24"/>
        </w:rPr>
        <w:t>实验室办公室存档。若为特殊原因，不能署名重点实验室时，应明确注明“国家卫生健康委生育调控技术重点实验室开放基金资助项目”，在成果鉴定和申报各类奖励时，也应该做出明确标注，对本基金项目所取得的专利、经济效益等其它成果应该在项目进展报告和总结报告中汇报。</w:t>
      </w:r>
    </w:p>
    <w:p w14:paraId="12784F38" w14:textId="57319982"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（七）资助课题结束后，必须向重点实验室提交下列资料：</w:t>
      </w:r>
    </w:p>
    <w:p w14:paraId="2C83D383" w14:textId="24DAF4C8"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1、研究工作总结报告；</w:t>
      </w:r>
    </w:p>
    <w:p w14:paraId="58561CF5" w14:textId="7EED6D5A"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2、学术成果（包括署名重点实验室或重点实验室开放基金资助的学术论文、</w:t>
      </w:r>
      <w:r w:rsidRPr="00297783">
        <w:rPr>
          <w:rFonts w:ascii="宋体" w:hAnsi="宋体" w:hint="eastAsia"/>
          <w:sz w:val="24"/>
        </w:rPr>
        <w:lastRenderedPageBreak/>
        <w:t>专著、专利、获奖等的复印件）及研究报告；</w:t>
      </w:r>
    </w:p>
    <w:p w14:paraId="7AA1D112" w14:textId="77777777"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 xml:space="preserve">3、研究工作中的各种原始技术档案（数据记录、图纸、底片和资料等）及目录清单。 </w:t>
      </w:r>
    </w:p>
    <w:p w14:paraId="2CDE9939" w14:textId="75890795"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八）重点实验室行政管理机构对实验室开放基金使用情况定期检查和监督。凡是来本实验室参加已被列入本实验室研究项目的人员，均应按计划向本实验室提交阶段工作总结和论文。项目完成后，按上述要求进行研究工作的资料归档工作。</w:t>
      </w:r>
    </w:p>
    <w:p w14:paraId="72A8F8F2" w14:textId="77777777" w:rsidR="00297783" w:rsidRPr="00297783" w:rsidRDefault="00297783" w:rsidP="0005035F">
      <w:pPr>
        <w:spacing w:line="360" w:lineRule="auto"/>
        <w:ind w:firstLineChars="200" w:firstLine="480"/>
        <w:rPr>
          <w:rFonts w:ascii="宋体" w:hAnsi="宋体"/>
          <w:sz w:val="24"/>
        </w:rPr>
      </w:pPr>
    </w:p>
    <w:p w14:paraId="57634291" w14:textId="24F4E2EE" w:rsidR="00297783" w:rsidRPr="00297783" w:rsidRDefault="00297783" w:rsidP="0005035F">
      <w:pPr>
        <w:spacing w:line="360" w:lineRule="auto"/>
        <w:ind w:firstLineChars="200" w:firstLine="482"/>
        <w:rPr>
          <w:rFonts w:ascii="宋体" w:hAnsi="宋体"/>
          <w:b/>
          <w:sz w:val="24"/>
        </w:rPr>
      </w:pPr>
      <w:r w:rsidRPr="00297783">
        <w:rPr>
          <w:rFonts w:ascii="宋体" w:hAnsi="宋体" w:hint="eastAsia"/>
          <w:b/>
          <w:sz w:val="24"/>
        </w:rPr>
        <w:t>四、开放经费的使用</w:t>
      </w:r>
    </w:p>
    <w:p w14:paraId="15FD88D3" w14:textId="61B28B6B"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（九）开放基金研究费用实报实销，由课题负责人按照有关科技经费报销的管理规定签字报销，单独核算，专款专用。</w:t>
      </w:r>
    </w:p>
    <w:p w14:paraId="3A76B974" w14:textId="199B623D"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 xml:space="preserve">（十）开放基金原则上集中核算，一般安排在中期检查结束后或课题结题验收后进行。开放基金核算结余可跨年度使用，开放基金课题结题后的节余经费，可用于改善重点实验室工作条件。 </w:t>
      </w:r>
    </w:p>
    <w:p w14:paraId="77B576D2" w14:textId="791473E1"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 xml:space="preserve">（十一）在开放基金资助范围内产生的费用实报实销，具体包括：    </w:t>
      </w:r>
    </w:p>
    <w:p w14:paraId="079C54C6" w14:textId="38097AA1"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 xml:space="preserve">1、与资助课题直接有关的研究费用，包括材料费、加工费、考查调研费、试验费等；    </w:t>
      </w:r>
    </w:p>
    <w:p w14:paraId="136CD46C" w14:textId="77777777"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2、学术活动费，包括参加国</w:t>
      </w:r>
      <w:proofErr w:type="gramStart"/>
      <w:r w:rsidRPr="00297783">
        <w:rPr>
          <w:rFonts w:ascii="宋体" w:hAnsi="宋体" w:hint="eastAsia"/>
          <w:sz w:val="24"/>
        </w:rPr>
        <w:t>内学术</w:t>
      </w:r>
      <w:proofErr w:type="gramEnd"/>
      <w:r w:rsidRPr="00297783">
        <w:rPr>
          <w:rFonts w:ascii="宋体" w:hAnsi="宋体" w:hint="eastAsia"/>
          <w:sz w:val="24"/>
        </w:rPr>
        <w:t xml:space="preserve">会议和考查调研费；    </w:t>
      </w:r>
    </w:p>
    <w:p w14:paraId="511DF851" w14:textId="77777777"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 xml:space="preserve">3、使用本实验室内部的公共设施和大型设备应交纳的维护运行费、折旧费；    </w:t>
      </w:r>
    </w:p>
    <w:p w14:paraId="05CC2767" w14:textId="77777777"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 xml:space="preserve">4、水电费、管理费；    </w:t>
      </w:r>
    </w:p>
    <w:p w14:paraId="04104415" w14:textId="6AF034A6" w:rsidR="00297783" w:rsidRPr="00297783" w:rsidRDefault="00297783" w:rsidP="0005035F">
      <w:pPr>
        <w:spacing w:line="360" w:lineRule="auto"/>
        <w:ind w:firstLineChars="200" w:firstLine="480"/>
        <w:rPr>
          <w:rFonts w:ascii="宋体" w:hAnsi="宋体"/>
          <w:sz w:val="24"/>
        </w:rPr>
      </w:pPr>
      <w:r w:rsidRPr="00297783">
        <w:rPr>
          <w:rFonts w:ascii="宋体" w:hAnsi="宋体" w:hint="eastAsia"/>
          <w:sz w:val="24"/>
        </w:rPr>
        <w:t>5</w:t>
      </w:r>
      <w:r w:rsidR="00C554FA">
        <w:rPr>
          <w:rFonts w:ascii="宋体" w:hAnsi="宋体" w:hint="eastAsia"/>
          <w:sz w:val="24"/>
        </w:rPr>
        <w:t>、公共性开支，如出版费、国内会议费、评审费</w:t>
      </w:r>
      <w:r w:rsidRPr="00297783">
        <w:rPr>
          <w:rFonts w:ascii="宋体" w:hAnsi="宋体" w:hint="eastAsia"/>
          <w:sz w:val="24"/>
        </w:rPr>
        <w:t xml:space="preserve">等。    </w:t>
      </w:r>
    </w:p>
    <w:p w14:paraId="38F69700" w14:textId="20AE8802" w:rsidR="00297783" w:rsidRPr="00297783" w:rsidRDefault="00C554FA" w:rsidP="0005035F">
      <w:pPr>
        <w:spacing w:line="360" w:lineRule="auto"/>
        <w:ind w:firstLineChars="200" w:firstLine="480"/>
        <w:rPr>
          <w:rFonts w:ascii="宋体" w:hAnsi="宋体"/>
          <w:sz w:val="24"/>
        </w:rPr>
      </w:pPr>
      <w:r>
        <w:rPr>
          <w:rFonts w:ascii="宋体" w:hAnsi="宋体" w:hint="eastAsia"/>
          <w:sz w:val="24"/>
        </w:rPr>
        <w:t>（十二</w:t>
      </w:r>
      <w:r w:rsidR="00297783" w:rsidRPr="00297783">
        <w:rPr>
          <w:rFonts w:ascii="宋体" w:hAnsi="宋体" w:hint="eastAsia"/>
          <w:sz w:val="24"/>
        </w:rPr>
        <w:t>）来本实验室工作的国外学者、港澳及台湾科技人员，进本实验室的具体手续及待遇按国家有关规定办理。</w:t>
      </w:r>
    </w:p>
    <w:p w14:paraId="670B9EA8" w14:textId="62A48593" w:rsidR="00297783" w:rsidRPr="00297783" w:rsidRDefault="00297783" w:rsidP="0005035F">
      <w:pPr>
        <w:spacing w:line="360" w:lineRule="auto"/>
        <w:ind w:firstLineChars="200" w:firstLine="482"/>
        <w:rPr>
          <w:rFonts w:ascii="宋体" w:hAnsi="宋体"/>
          <w:b/>
          <w:sz w:val="24"/>
        </w:rPr>
      </w:pPr>
      <w:r w:rsidRPr="00297783">
        <w:rPr>
          <w:rFonts w:ascii="宋体" w:hAnsi="宋体" w:hint="eastAsia"/>
          <w:b/>
          <w:sz w:val="24"/>
        </w:rPr>
        <w:t>五、附则</w:t>
      </w:r>
    </w:p>
    <w:p w14:paraId="43D2940F" w14:textId="285B42FB" w:rsidR="00297783" w:rsidRPr="00297783" w:rsidRDefault="00C554FA" w:rsidP="0005035F">
      <w:pPr>
        <w:spacing w:line="360" w:lineRule="auto"/>
        <w:ind w:firstLineChars="200" w:firstLine="480"/>
        <w:rPr>
          <w:rFonts w:ascii="宋体" w:hAnsi="宋体"/>
          <w:sz w:val="24"/>
        </w:rPr>
      </w:pPr>
      <w:r>
        <w:rPr>
          <w:rFonts w:ascii="宋体" w:hAnsi="宋体" w:hint="eastAsia"/>
          <w:sz w:val="24"/>
        </w:rPr>
        <w:t>（十三</w:t>
      </w:r>
      <w:r w:rsidR="00297783" w:rsidRPr="00297783">
        <w:rPr>
          <w:rFonts w:ascii="宋体" w:hAnsi="宋体" w:hint="eastAsia"/>
          <w:sz w:val="24"/>
        </w:rPr>
        <w:t>） 本办法由</w:t>
      </w:r>
      <w:r w:rsidR="00297783">
        <w:rPr>
          <w:rFonts w:ascii="宋体" w:hAnsi="宋体" w:hint="eastAsia"/>
          <w:sz w:val="24"/>
        </w:rPr>
        <w:t>国家卫生健康委生育调控技术重点实验室</w:t>
      </w:r>
      <w:r w:rsidR="00297783" w:rsidRPr="00297783">
        <w:rPr>
          <w:rFonts w:ascii="宋体" w:hAnsi="宋体" w:hint="eastAsia"/>
          <w:sz w:val="24"/>
        </w:rPr>
        <w:t xml:space="preserve">负责解释。                                                       </w:t>
      </w:r>
    </w:p>
    <w:p w14:paraId="5AAEAAA3" w14:textId="64BD12EA" w:rsidR="0027732D" w:rsidRDefault="0027732D" w:rsidP="0005035F">
      <w:pPr>
        <w:spacing w:line="360" w:lineRule="auto"/>
        <w:ind w:firstLineChars="200" w:firstLine="420"/>
      </w:pPr>
    </w:p>
    <w:sectPr w:rsidR="002773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5033D" w14:textId="77777777" w:rsidR="00046D54" w:rsidRDefault="00046D54" w:rsidP="0005035F">
      <w:r>
        <w:separator/>
      </w:r>
    </w:p>
  </w:endnote>
  <w:endnote w:type="continuationSeparator" w:id="0">
    <w:p w14:paraId="6AAE21BF" w14:textId="77777777" w:rsidR="00046D54" w:rsidRDefault="00046D54" w:rsidP="0005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58F88" w14:textId="77777777" w:rsidR="00046D54" w:rsidRDefault="00046D54" w:rsidP="0005035F">
      <w:r>
        <w:separator/>
      </w:r>
    </w:p>
  </w:footnote>
  <w:footnote w:type="continuationSeparator" w:id="0">
    <w:p w14:paraId="1411306E" w14:textId="77777777" w:rsidR="00046D54" w:rsidRDefault="00046D54" w:rsidP="00050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02"/>
    <w:rsid w:val="00046D54"/>
    <w:rsid w:val="0005035F"/>
    <w:rsid w:val="000F2059"/>
    <w:rsid w:val="0027732D"/>
    <w:rsid w:val="00297783"/>
    <w:rsid w:val="003B060B"/>
    <w:rsid w:val="00C554FA"/>
    <w:rsid w:val="00D4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6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297783"/>
    <w:pPr>
      <w:spacing w:before="240" w:after="60"/>
      <w:jc w:val="center"/>
      <w:outlineLvl w:val="0"/>
    </w:pPr>
    <w:rPr>
      <w:rFonts w:ascii="Cambria" w:hAnsi="Cambria"/>
      <w:b/>
      <w:bCs/>
      <w:sz w:val="32"/>
      <w:szCs w:val="32"/>
    </w:rPr>
  </w:style>
  <w:style w:type="character" w:customStyle="1" w:styleId="a4">
    <w:name w:val="标题 字符"/>
    <w:basedOn w:val="a0"/>
    <w:uiPriority w:val="10"/>
    <w:rsid w:val="00297783"/>
    <w:rPr>
      <w:rFonts w:asciiTheme="majorHAnsi" w:eastAsiaTheme="majorEastAsia" w:hAnsiTheme="majorHAnsi" w:cstheme="majorBidi"/>
      <w:b/>
      <w:bCs/>
      <w:sz w:val="32"/>
      <w:szCs w:val="32"/>
    </w:rPr>
  </w:style>
  <w:style w:type="character" w:customStyle="1" w:styleId="Char">
    <w:name w:val="标题 Char"/>
    <w:basedOn w:val="a0"/>
    <w:link w:val="a3"/>
    <w:rsid w:val="00297783"/>
    <w:rPr>
      <w:rFonts w:ascii="Cambria" w:eastAsia="宋体" w:hAnsi="Cambria" w:cs="Times New Roman"/>
      <w:b/>
      <w:bCs/>
      <w:sz w:val="32"/>
      <w:szCs w:val="32"/>
    </w:rPr>
  </w:style>
  <w:style w:type="paragraph" w:styleId="a5">
    <w:name w:val="header"/>
    <w:basedOn w:val="a"/>
    <w:link w:val="Char0"/>
    <w:uiPriority w:val="99"/>
    <w:unhideWhenUsed/>
    <w:rsid w:val="000503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5035F"/>
    <w:rPr>
      <w:rFonts w:ascii="Times New Roman" w:eastAsia="宋体" w:hAnsi="Times New Roman" w:cs="Times New Roman"/>
      <w:sz w:val="18"/>
      <w:szCs w:val="18"/>
    </w:rPr>
  </w:style>
  <w:style w:type="paragraph" w:styleId="a6">
    <w:name w:val="footer"/>
    <w:basedOn w:val="a"/>
    <w:link w:val="Char1"/>
    <w:uiPriority w:val="99"/>
    <w:unhideWhenUsed/>
    <w:rsid w:val="0005035F"/>
    <w:pPr>
      <w:tabs>
        <w:tab w:val="center" w:pos="4153"/>
        <w:tab w:val="right" w:pos="8306"/>
      </w:tabs>
      <w:snapToGrid w:val="0"/>
      <w:jc w:val="left"/>
    </w:pPr>
    <w:rPr>
      <w:sz w:val="18"/>
      <w:szCs w:val="18"/>
    </w:rPr>
  </w:style>
  <w:style w:type="character" w:customStyle="1" w:styleId="Char1">
    <w:name w:val="页脚 Char"/>
    <w:basedOn w:val="a0"/>
    <w:link w:val="a6"/>
    <w:uiPriority w:val="99"/>
    <w:rsid w:val="0005035F"/>
    <w:rPr>
      <w:rFonts w:ascii="Times New Roman" w:eastAsia="宋体" w:hAnsi="Times New Roman" w:cs="Times New Roman"/>
      <w:sz w:val="18"/>
      <w:szCs w:val="18"/>
    </w:rPr>
  </w:style>
  <w:style w:type="paragraph" w:styleId="a7">
    <w:name w:val="Balloon Text"/>
    <w:basedOn w:val="a"/>
    <w:link w:val="Char2"/>
    <w:uiPriority w:val="99"/>
    <w:semiHidden/>
    <w:unhideWhenUsed/>
    <w:rsid w:val="0005035F"/>
    <w:rPr>
      <w:sz w:val="18"/>
      <w:szCs w:val="18"/>
    </w:rPr>
  </w:style>
  <w:style w:type="character" w:customStyle="1" w:styleId="Char2">
    <w:name w:val="批注框文本 Char"/>
    <w:basedOn w:val="a0"/>
    <w:link w:val="a7"/>
    <w:uiPriority w:val="99"/>
    <w:semiHidden/>
    <w:rsid w:val="0005035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78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qFormat/>
    <w:rsid w:val="00297783"/>
    <w:pPr>
      <w:spacing w:before="240" w:after="60"/>
      <w:jc w:val="center"/>
      <w:outlineLvl w:val="0"/>
    </w:pPr>
    <w:rPr>
      <w:rFonts w:ascii="Cambria" w:hAnsi="Cambria"/>
      <w:b/>
      <w:bCs/>
      <w:sz w:val="32"/>
      <w:szCs w:val="32"/>
    </w:rPr>
  </w:style>
  <w:style w:type="character" w:customStyle="1" w:styleId="a4">
    <w:name w:val="标题 字符"/>
    <w:basedOn w:val="a0"/>
    <w:uiPriority w:val="10"/>
    <w:rsid w:val="00297783"/>
    <w:rPr>
      <w:rFonts w:asciiTheme="majorHAnsi" w:eastAsiaTheme="majorEastAsia" w:hAnsiTheme="majorHAnsi" w:cstheme="majorBidi"/>
      <w:b/>
      <w:bCs/>
      <w:sz w:val="32"/>
      <w:szCs w:val="32"/>
    </w:rPr>
  </w:style>
  <w:style w:type="character" w:customStyle="1" w:styleId="Char">
    <w:name w:val="标题 Char"/>
    <w:basedOn w:val="a0"/>
    <w:link w:val="a3"/>
    <w:rsid w:val="00297783"/>
    <w:rPr>
      <w:rFonts w:ascii="Cambria" w:eastAsia="宋体" w:hAnsi="Cambria" w:cs="Times New Roman"/>
      <w:b/>
      <w:bCs/>
      <w:sz w:val="32"/>
      <w:szCs w:val="32"/>
    </w:rPr>
  </w:style>
  <w:style w:type="paragraph" w:styleId="a5">
    <w:name w:val="header"/>
    <w:basedOn w:val="a"/>
    <w:link w:val="Char0"/>
    <w:uiPriority w:val="99"/>
    <w:unhideWhenUsed/>
    <w:rsid w:val="000503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5035F"/>
    <w:rPr>
      <w:rFonts w:ascii="Times New Roman" w:eastAsia="宋体" w:hAnsi="Times New Roman" w:cs="Times New Roman"/>
      <w:sz w:val="18"/>
      <w:szCs w:val="18"/>
    </w:rPr>
  </w:style>
  <w:style w:type="paragraph" w:styleId="a6">
    <w:name w:val="footer"/>
    <w:basedOn w:val="a"/>
    <w:link w:val="Char1"/>
    <w:uiPriority w:val="99"/>
    <w:unhideWhenUsed/>
    <w:rsid w:val="0005035F"/>
    <w:pPr>
      <w:tabs>
        <w:tab w:val="center" w:pos="4153"/>
        <w:tab w:val="right" w:pos="8306"/>
      </w:tabs>
      <w:snapToGrid w:val="0"/>
      <w:jc w:val="left"/>
    </w:pPr>
    <w:rPr>
      <w:sz w:val="18"/>
      <w:szCs w:val="18"/>
    </w:rPr>
  </w:style>
  <w:style w:type="character" w:customStyle="1" w:styleId="Char1">
    <w:name w:val="页脚 Char"/>
    <w:basedOn w:val="a0"/>
    <w:link w:val="a6"/>
    <w:uiPriority w:val="99"/>
    <w:rsid w:val="0005035F"/>
    <w:rPr>
      <w:rFonts w:ascii="Times New Roman" w:eastAsia="宋体" w:hAnsi="Times New Roman" w:cs="Times New Roman"/>
      <w:sz w:val="18"/>
      <w:szCs w:val="18"/>
    </w:rPr>
  </w:style>
  <w:style w:type="paragraph" w:styleId="a7">
    <w:name w:val="Balloon Text"/>
    <w:basedOn w:val="a"/>
    <w:link w:val="Char2"/>
    <w:uiPriority w:val="99"/>
    <w:semiHidden/>
    <w:unhideWhenUsed/>
    <w:rsid w:val="0005035F"/>
    <w:rPr>
      <w:sz w:val="18"/>
      <w:szCs w:val="18"/>
    </w:rPr>
  </w:style>
  <w:style w:type="character" w:customStyle="1" w:styleId="Char2">
    <w:name w:val="批注框文本 Char"/>
    <w:basedOn w:val="a0"/>
    <w:link w:val="a7"/>
    <w:uiPriority w:val="99"/>
    <w:semiHidden/>
    <w:rsid w:val="0005035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4</cp:revision>
  <dcterms:created xsi:type="dcterms:W3CDTF">2020-12-21T02:43:00Z</dcterms:created>
  <dcterms:modified xsi:type="dcterms:W3CDTF">2020-12-29T01:58:00Z</dcterms:modified>
</cp:coreProperties>
</file>